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1E2C" w:rsidRPr="0044516A" w:rsidRDefault="004B1E2C" w:rsidP="004B1E2C">
      <w:pPr>
        <w:jc w:val="center"/>
        <w:textAlignment w:val="baseline"/>
        <w:rPr>
          <w:sz w:val="22"/>
          <w:szCs w:val="22"/>
        </w:rPr>
      </w:pPr>
      <w:r w:rsidRPr="0044516A">
        <w:rPr>
          <w:rFonts w:ascii="Minion Pro" w:hAnsi="Minion Pro"/>
          <w:b/>
          <w:bCs/>
          <w:sz w:val="22"/>
          <w:szCs w:val="22"/>
          <w:bdr w:val="none" w:sz="0" w:space="0" w:color="auto" w:frame="1"/>
        </w:rPr>
        <w:t>OBRAZAC 1. Evidencija o provedbi eko sheme</w:t>
      </w:r>
    </w:p>
    <w:p w:rsidR="004B1E2C" w:rsidRPr="0044516A" w:rsidRDefault="004B1E2C" w:rsidP="004B1E2C">
      <w:pPr>
        <w:jc w:val="center"/>
        <w:textAlignment w:val="baseline"/>
        <w:rPr>
          <w:sz w:val="22"/>
          <w:szCs w:val="22"/>
        </w:rPr>
      </w:pPr>
      <w:r w:rsidRPr="0044516A">
        <w:rPr>
          <w:rFonts w:ascii="Minion Pro" w:hAnsi="Minion Pro"/>
          <w:b/>
          <w:bCs/>
          <w:sz w:val="22"/>
          <w:szCs w:val="22"/>
          <w:bdr w:val="none" w:sz="0" w:space="0" w:color="auto" w:frame="1"/>
        </w:rPr>
        <w:t>Intervencije 31.04. Uporaba stajskog gnoja na oraničnim površinama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4B1E2C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EVIDENCIJA O PROVEDBI OBVEZA ZA INTERVENCIJU</w:t>
            </w:r>
          </w:p>
          <w:p w:rsidR="004B1E2C" w:rsidRPr="0044516A" w:rsidRDefault="004B1E2C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31.04. Uporaba stajskog gnoja na oraničnim površinama</w:t>
            </w:r>
          </w:p>
        </w:tc>
      </w:tr>
    </w:tbl>
    <w:p w:rsidR="004B1E2C" w:rsidRPr="0044516A" w:rsidRDefault="004B1E2C" w:rsidP="004B1E2C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0"/>
        <w:gridCol w:w="4796"/>
      </w:tblGrid>
      <w:tr w:rsidR="004B1E2C" w:rsidRPr="0044516A" w:rsidTr="00602BB4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1. DIO – OPĆI PODACI ZA INTERVENCIJU</w:t>
            </w:r>
          </w:p>
          <w:p w:rsidR="004B1E2C" w:rsidRPr="0044516A" w:rsidRDefault="004B1E2C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31.04. Uporaba stajskog gnoja na oraničnim površinama</w:t>
            </w:r>
          </w:p>
        </w:tc>
      </w:tr>
      <w:tr w:rsidR="004B1E2C" w:rsidRPr="0044516A" w:rsidTr="00602BB4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NAZIV PG I ODGOVORNE OSOBE:</w:t>
            </w:r>
          </w:p>
        </w:tc>
      </w:tr>
      <w:tr w:rsidR="004B1E2C" w:rsidRPr="0044516A" w:rsidTr="00602BB4">
        <w:tc>
          <w:tcPr>
            <w:tcW w:w="2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OIB:</w:t>
            </w:r>
          </w:p>
        </w:tc>
        <w:tc>
          <w:tcPr>
            <w:tcW w:w="2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MIBPG:</w:t>
            </w:r>
          </w:p>
        </w:tc>
      </w:tr>
      <w:tr w:rsidR="004B1E2C" w:rsidRPr="0044516A" w:rsidTr="00602BB4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SJEDIŠTE PG:</w:t>
            </w:r>
          </w:p>
        </w:tc>
      </w:tr>
      <w:tr w:rsidR="004B1E2C" w:rsidRPr="0044516A" w:rsidTr="00602BB4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GODINA ZA KOJU SE VODI EVIDENCIJA:</w:t>
            </w:r>
          </w:p>
        </w:tc>
      </w:tr>
    </w:tbl>
    <w:p w:rsidR="004B1E2C" w:rsidRPr="0044516A" w:rsidRDefault="004B1E2C" w:rsidP="004B1E2C">
      <w:pPr>
        <w:textAlignment w:val="baseline"/>
        <w:rPr>
          <w:rFonts w:ascii="Minion Pro" w:hAnsi="Minion P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4B1E2C" w:rsidRPr="0044516A" w:rsidTr="00602BB4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2. DIO – PROVEDENE OBVEZE ZA INTERVENCIJU</w:t>
            </w:r>
          </w:p>
          <w:p w:rsidR="004B1E2C" w:rsidRPr="0044516A" w:rsidRDefault="004B1E2C" w:rsidP="00602BB4">
            <w:pPr>
              <w:jc w:val="center"/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>31.04. Uporaba stajskog gnoja na oraničnim površinama</w:t>
            </w:r>
          </w:p>
        </w:tc>
      </w:tr>
    </w:tbl>
    <w:p w:rsidR="004B1E2C" w:rsidRPr="0044516A" w:rsidRDefault="004B1E2C" w:rsidP="004B1E2C">
      <w:pPr>
        <w:textAlignment w:val="baseline"/>
        <w:rPr>
          <w:rFonts w:ascii="Minion Pro" w:hAnsi="Minion Pro"/>
        </w:rPr>
      </w:pPr>
    </w:p>
    <w:tbl>
      <w:tblPr>
        <w:tblW w:w="10502" w:type="dxa"/>
        <w:tblInd w:w="-7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1528"/>
        <w:gridCol w:w="1707"/>
        <w:gridCol w:w="616"/>
        <w:gridCol w:w="968"/>
        <w:gridCol w:w="973"/>
        <w:gridCol w:w="1096"/>
        <w:gridCol w:w="1570"/>
        <w:gridCol w:w="1508"/>
      </w:tblGrid>
      <w:tr w:rsidR="004B1E2C" w:rsidRPr="0044516A" w:rsidTr="004B1E2C">
        <w:trPr>
          <w:trHeight w:val="300"/>
        </w:trPr>
        <w:tc>
          <w:tcPr>
            <w:tcW w:w="4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bookmarkStart w:id="0" w:name="_GoBack"/>
            <w:bookmarkEnd w:id="0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Ime i prezime osobe koja je provela individualno savjetovanje </w:t>
            </w:r>
            <w:r w:rsidRPr="0044516A">
              <w:rPr>
                <w:rFonts w:ascii="Minion Pro" w:hAnsi="Minion Pro"/>
                <w:sz w:val="18"/>
                <w:szCs w:val="18"/>
              </w:rPr>
              <w:t xml:space="preserve"> ili osobe koja odgovorna za 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 izradu plana gnojidbe</w:t>
            </w:r>
            <w:r w:rsidRPr="0044516A">
              <w:rPr>
                <w:rFonts w:ascii="Minion Pro" w:hAnsi="Minion Pro"/>
                <w:sz w:val="18"/>
                <w:szCs w:val="18"/>
              </w:rPr>
              <w:t xml:space="preserve"> (u slučaju izrade bez individualnog  savjetovanja)</w:t>
            </w:r>
          </w:p>
        </w:tc>
        <w:tc>
          <w:tcPr>
            <w:tcW w:w="6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2C" w:rsidRPr="0044516A" w:rsidRDefault="004B1E2C" w:rsidP="00602BB4">
            <w:pPr>
              <w:rPr>
                <w:sz w:val="20"/>
                <w:szCs w:val="20"/>
              </w:rPr>
            </w:pPr>
          </w:p>
        </w:tc>
      </w:tr>
      <w:tr w:rsidR="004B1E2C" w:rsidRPr="0044516A" w:rsidTr="004B1E2C">
        <w:trPr>
          <w:trHeight w:val="300"/>
        </w:trPr>
        <w:tc>
          <w:tcPr>
            <w:tcW w:w="4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provedenog savjetovanja</w:t>
            </w:r>
            <w:r w:rsidRPr="0044516A">
              <w:rPr>
                <w:rFonts w:ascii="Minion Pro" w:hAnsi="Minion Pro"/>
                <w:sz w:val="18"/>
                <w:szCs w:val="18"/>
              </w:rPr>
              <w:t xml:space="preserve"> ili datum izrade Plana gnojidbe (u slučaju izrade bez individualnog  savjetovanja)</w:t>
            </w:r>
          </w:p>
        </w:tc>
        <w:tc>
          <w:tcPr>
            <w:tcW w:w="6115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rPr>
                <w:sz w:val="20"/>
                <w:szCs w:val="20"/>
              </w:rPr>
            </w:pPr>
          </w:p>
        </w:tc>
      </w:tr>
      <w:tr w:rsidR="004B1E2C" w:rsidRPr="0044516A" w:rsidTr="004B1E2C">
        <w:trPr>
          <w:trHeight w:val="300"/>
        </w:trPr>
        <w:tc>
          <w:tcPr>
            <w:tcW w:w="4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Naziv i broj dokumenta kojim se individualno savjetovanje potvrđuje (popunjava se samo ako se Plan gnojidbe izrađuje u okviru individualnog savjetovanja). </w:t>
            </w:r>
          </w:p>
        </w:tc>
        <w:tc>
          <w:tcPr>
            <w:tcW w:w="61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rPr>
                <w:sz w:val="20"/>
                <w:szCs w:val="20"/>
              </w:rPr>
            </w:pPr>
          </w:p>
        </w:tc>
      </w:tr>
      <w:tr w:rsidR="004B1E2C" w:rsidRPr="0044516A" w:rsidTr="004B1E2C">
        <w:trPr>
          <w:trHeight w:val="230"/>
        </w:trPr>
        <w:tc>
          <w:tcPr>
            <w:tcW w:w="105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textAlignment w:val="baseline"/>
              <w:rPr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rFonts w:ascii="Minion Pro" w:hAnsi="Minion Pro"/>
                <w:b/>
                <w:bCs/>
                <w:sz w:val="16"/>
                <w:szCs w:val="16"/>
                <w:bdr w:val="none" w:sz="0" w:space="0" w:color="auto" w:frame="1"/>
              </w:rPr>
              <w:t>1. Plan gnojidbe</w:t>
            </w:r>
            <w:r>
              <w:rPr>
                <w:rFonts w:ascii="Minion Pro" w:hAnsi="Minion Pro"/>
                <w:b/>
                <w:bCs/>
                <w:sz w:val="16"/>
                <w:szCs w:val="16"/>
                <w:bdr w:val="none" w:sz="0" w:space="0" w:color="auto" w:frame="1"/>
              </w:rPr>
              <w:t>/evidencija</w:t>
            </w:r>
            <w:r w:rsidRPr="0044516A">
              <w:rPr>
                <w:rFonts w:ascii="Minion Pro" w:hAnsi="Minion Pro"/>
                <w:b/>
                <w:bCs/>
                <w:sz w:val="16"/>
                <w:szCs w:val="16"/>
                <w:bdr w:val="none" w:sz="0" w:space="0" w:color="auto" w:frame="1"/>
              </w:rPr>
              <w:t xml:space="preserve"> za sve ARKOD parcele na kojima se provodi intervencija</w:t>
            </w:r>
          </w:p>
          <w:p w:rsidR="004B1E2C" w:rsidRPr="0044516A" w:rsidRDefault="004B1E2C" w:rsidP="00602BB4">
            <w:pPr>
              <w:textAlignment w:val="baseline"/>
              <w:rPr>
                <w:rFonts w:ascii="Minion Pro" w:hAnsi="Minion Pro"/>
                <w:b/>
                <w:bCs/>
                <w:sz w:val="16"/>
                <w:szCs w:val="16"/>
                <w:bdr w:val="none" w:sz="0" w:space="0" w:color="auto" w:frame="1"/>
              </w:rPr>
            </w:pPr>
            <w:r w:rsidRPr="0044516A">
              <w:rPr>
                <w:sz w:val="16"/>
                <w:szCs w:val="16"/>
                <w:bdr w:val="none" w:sz="0" w:space="0" w:color="auto" w:frame="1"/>
              </w:rPr>
              <w:t xml:space="preserve">Stajski gnoj potrebno je inkorporirati u tlo na način da se gubici dušika smanje na najmanju moguću mjeru, po mogućnosti odmah nakon primjene.  </w:t>
            </w:r>
          </w:p>
        </w:tc>
      </w:tr>
      <w:tr w:rsidR="004B1E2C" w:rsidRPr="0044516A" w:rsidTr="004B1E2C">
        <w:trPr>
          <w:trHeight w:val="230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R.b</w:t>
            </w:r>
            <w:proofErr w:type="spellEnd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.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ARKOD ID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 iznošenja gnoja na oraničnu površinu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  <w:p w:rsidR="004B1E2C" w:rsidRPr="0044516A" w:rsidRDefault="004B1E2C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Datum inkorporiranja gnoja u tlo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Količina (t/ha)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  <w:p w:rsidR="004B1E2C" w:rsidRPr="0044516A" w:rsidRDefault="004B1E2C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Vrsta gnojiva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Izvor korištenog gnoja (vlastita proizvodnja, kupljen, uslužni tov)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jc w:val="center"/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</w:rPr>
              <w:t>% N iz analize korištenog gnoja</w:t>
            </w:r>
          </w:p>
        </w:tc>
      </w:tr>
      <w:tr w:rsidR="004B1E2C" w:rsidRPr="0044516A" w:rsidTr="004B1E2C">
        <w:trPr>
          <w:trHeight w:val="230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</w:tr>
      <w:tr w:rsidR="004B1E2C" w:rsidRPr="0044516A" w:rsidTr="004B1E2C">
        <w:trPr>
          <w:trHeight w:val="230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</w:tr>
      <w:tr w:rsidR="004B1E2C" w:rsidRPr="0044516A" w:rsidTr="004B1E2C">
        <w:trPr>
          <w:trHeight w:val="230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</w:tr>
      <w:tr w:rsidR="004B1E2C" w:rsidRPr="0044516A" w:rsidTr="004B1E2C">
        <w:trPr>
          <w:trHeight w:val="230"/>
        </w:trPr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</w:p>
        </w:tc>
      </w:tr>
    </w:tbl>
    <w:p w:rsidR="004B1E2C" w:rsidRPr="0044516A" w:rsidRDefault="004B1E2C" w:rsidP="004B1E2C">
      <w:pPr>
        <w:textAlignment w:val="baseline"/>
        <w:rPr>
          <w:rFonts w:ascii="Minion Pro" w:hAnsi="Minion Pro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951"/>
        <w:gridCol w:w="1951"/>
        <w:gridCol w:w="1034"/>
        <w:gridCol w:w="791"/>
        <w:gridCol w:w="2883"/>
      </w:tblGrid>
      <w:tr w:rsidR="004B1E2C" w:rsidRPr="0044516A" w:rsidTr="00602BB4">
        <w:trPr>
          <w:trHeight w:val="30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kern w:val="2"/>
                <w:sz w:val="18"/>
                <w:szCs w:val="18"/>
                <w14:ligatures w14:val="standardContextual"/>
              </w:rPr>
              <w:t>3. DIO – PODACI O USLUŽNOM TOVU STOKE ZA INTERVENCIJU</w:t>
            </w:r>
          </w:p>
          <w:p w:rsidR="004B1E2C" w:rsidRPr="0044516A" w:rsidRDefault="004B1E2C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31.04. Uporaba stajskog gnoja na oraničnim površinama</w:t>
            </w:r>
          </w:p>
          <w:p w:rsidR="004B1E2C" w:rsidRPr="0044516A" w:rsidRDefault="004B1E2C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</w:p>
          <w:p w:rsidR="004B1E2C" w:rsidRPr="0044516A" w:rsidRDefault="004B1E2C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PRILOG UGOVORU O USLUŽNOM TOVU</w:t>
            </w:r>
          </w:p>
          <w:p w:rsidR="004B1E2C" w:rsidRPr="0044516A" w:rsidRDefault="004B1E2C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</w:p>
          <w:p w:rsidR="004B1E2C" w:rsidRPr="0044516A" w:rsidRDefault="004B1E2C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(uz Ugovor o uslužnom tovu korisnik je obvezan priložiti obrazac potpisan od strane organizatora uslužnog tova i korisnika</w:t>
            </w:r>
            <w:r w:rsidRPr="0044516A"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44516A">
              <w:rPr>
                <w:sz w:val="18"/>
                <w:szCs w:val="18"/>
              </w:rPr>
              <w:t>uslužnog tova te dostaviti Agenciji za plaćanja do 31. prosinca</w:t>
            </w:r>
            <w:r w:rsidRPr="0044516A">
              <w:rPr>
                <w:rFonts w:eastAsiaTheme="minorHAnsi"/>
                <w:lang w:eastAsia="en-US"/>
              </w:rPr>
              <w:t xml:space="preserve"> </w:t>
            </w:r>
            <w:r w:rsidRPr="0044516A">
              <w:rPr>
                <w:sz w:val="18"/>
                <w:szCs w:val="18"/>
              </w:rPr>
              <w:t>godine podnošenja Jedinstvenog zahtjeva)</w:t>
            </w:r>
          </w:p>
        </w:tc>
      </w:tr>
      <w:tr w:rsidR="004B1E2C" w:rsidRPr="0044516A" w:rsidTr="00602BB4">
        <w:trPr>
          <w:trHeight w:val="30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b/>
                <w:bCs/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t>1. Podaci o korisniku  koji uslužno tovi</w:t>
            </w:r>
          </w:p>
        </w:tc>
      </w:tr>
      <w:tr w:rsidR="004B1E2C" w:rsidRPr="0044516A" w:rsidTr="00602BB4">
        <w:trPr>
          <w:trHeight w:val="30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NAZIV PG I ODGOVORNE OSOBE: </w:t>
            </w:r>
          </w:p>
        </w:tc>
      </w:tr>
      <w:tr w:rsidR="004B1E2C" w:rsidRPr="0044516A" w:rsidTr="00602BB4">
        <w:trPr>
          <w:trHeight w:val="300"/>
        </w:trPr>
        <w:tc>
          <w:tcPr>
            <w:tcW w:w="297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lastRenderedPageBreak/>
              <w:t>OIB: </w:t>
            </w:r>
          </w:p>
        </w:tc>
        <w:tc>
          <w:tcPr>
            <w:tcW w:w="20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MIBPG: </w:t>
            </w:r>
          </w:p>
        </w:tc>
      </w:tr>
      <w:tr w:rsidR="004B1E2C" w:rsidRPr="0044516A" w:rsidTr="00602BB4">
        <w:trPr>
          <w:trHeight w:val="30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SJEDIŠTE PG: </w:t>
            </w:r>
          </w:p>
        </w:tc>
      </w:tr>
      <w:tr w:rsidR="004B1E2C" w:rsidRPr="0044516A" w:rsidTr="00602BB4">
        <w:trPr>
          <w:trHeight w:val="30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POTPIS ODGOVORNE OSOBE:</w:t>
            </w:r>
          </w:p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  <w:p w:rsidR="004B1E2C" w:rsidRPr="0044516A" w:rsidRDefault="004B1E2C" w:rsidP="00602BB4">
            <w:pPr>
              <w:spacing w:line="276" w:lineRule="auto"/>
              <w:textAlignment w:val="baseline"/>
              <w:rPr>
                <w:b/>
                <w:bCs/>
                <w:sz w:val="18"/>
                <w:szCs w:val="18"/>
              </w:rPr>
            </w:pPr>
          </w:p>
        </w:tc>
      </w:tr>
      <w:tr w:rsidR="004B1E2C" w:rsidRPr="0044516A" w:rsidTr="00602BB4">
        <w:trPr>
          <w:trHeight w:val="30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t>2. Podaci o organizatoru uslužnog tova</w:t>
            </w:r>
          </w:p>
        </w:tc>
      </w:tr>
      <w:tr w:rsidR="004B1E2C" w:rsidRPr="0044516A" w:rsidTr="00602BB4">
        <w:trPr>
          <w:trHeight w:val="30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NAZIV PG I ODGOVORNE OSOBE: </w:t>
            </w:r>
          </w:p>
        </w:tc>
      </w:tr>
      <w:tr w:rsidR="004B1E2C" w:rsidRPr="0044516A" w:rsidTr="00602BB4">
        <w:trPr>
          <w:trHeight w:val="300"/>
        </w:trPr>
        <w:tc>
          <w:tcPr>
            <w:tcW w:w="297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OIB: </w:t>
            </w:r>
          </w:p>
        </w:tc>
        <w:tc>
          <w:tcPr>
            <w:tcW w:w="20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MIBPG:</w:t>
            </w:r>
          </w:p>
        </w:tc>
      </w:tr>
      <w:tr w:rsidR="004B1E2C" w:rsidRPr="0044516A" w:rsidTr="00602BB4">
        <w:trPr>
          <w:trHeight w:val="30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SJEDIŠTE PG: </w:t>
            </w:r>
          </w:p>
        </w:tc>
      </w:tr>
      <w:tr w:rsidR="004B1E2C" w:rsidRPr="0044516A" w:rsidTr="00602BB4">
        <w:trPr>
          <w:trHeight w:val="30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>POTPIS ODGOVORNE OSOBE:</w:t>
            </w:r>
          </w:p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</w:tc>
      </w:tr>
      <w:tr w:rsidR="004B1E2C" w:rsidRPr="0044516A" w:rsidTr="00602BB4">
        <w:trPr>
          <w:trHeight w:val="30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  <w:r w:rsidRPr="0044516A">
              <w:rPr>
                <w:b/>
                <w:bCs/>
                <w:sz w:val="18"/>
                <w:szCs w:val="18"/>
              </w:rPr>
              <w:t>3</w:t>
            </w:r>
            <w:r w:rsidRPr="0044516A">
              <w:rPr>
                <w:rFonts w:ascii="Minion Pro" w:hAnsi="Minion Pro"/>
                <w:b/>
                <w:bCs/>
                <w:sz w:val="18"/>
                <w:szCs w:val="18"/>
                <w:bdr w:val="none" w:sz="0" w:space="0" w:color="auto" w:frame="1"/>
              </w:rPr>
              <w:t>. Podaci o uslužnom tovu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 xml:space="preserve"> moraju sadržavati podatke: JRB gospodarstva na kojem se odvija uslužni tov, vrstu stoke u uslužnom tovu po kategorijama iz Tablice 1</w:t>
            </w:r>
            <w: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4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. iz Priloga 1. ovoga Pravilnika, broj stoke u uslužnom tovu prema vrsti, i vrstu stajskog gnoja po kategorijama iz  Tablice 1</w:t>
            </w:r>
            <w: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3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. iz Priloga 1. ovoga Pravilnika .</w:t>
            </w:r>
            <w:r w:rsidRPr="0044516A">
              <w:rPr>
                <w:rFonts w:eastAsia="Calibri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</w:t>
            </w:r>
          </w:p>
        </w:tc>
      </w:tr>
      <w:tr w:rsidR="004B1E2C" w:rsidRPr="0044516A" w:rsidTr="00602BB4">
        <w:trPr>
          <w:trHeight w:val="30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b/>
                <w:bCs/>
                <w:sz w:val="18"/>
                <w:szCs w:val="18"/>
              </w:rPr>
            </w:pPr>
            <w:r w:rsidRPr="0044516A">
              <w:rPr>
                <w:sz w:val="18"/>
                <w:szCs w:val="18"/>
              </w:rPr>
              <w:t xml:space="preserve"> </w:t>
            </w:r>
          </w:p>
        </w:tc>
      </w:tr>
      <w:tr w:rsidR="004B1E2C" w:rsidRPr="0044516A" w:rsidTr="00602BB4">
        <w:trPr>
          <w:trHeight w:val="300"/>
        </w:trPr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B1E2C" w:rsidRPr="0044516A" w:rsidRDefault="004B1E2C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  <w:proofErr w:type="spellStart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R.b</w:t>
            </w:r>
            <w:proofErr w:type="spellEnd"/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. </w:t>
            </w:r>
          </w:p>
        </w:tc>
        <w:tc>
          <w:tcPr>
            <w:tcW w:w="107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JRB gospodarstva na kojem se odvija uslužni tov</w:t>
            </w:r>
          </w:p>
        </w:tc>
        <w:tc>
          <w:tcPr>
            <w:tcW w:w="107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B1E2C" w:rsidRPr="0044516A" w:rsidRDefault="004B1E2C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Vrsta stoke u uslužnom tovu </w:t>
            </w:r>
          </w:p>
        </w:tc>
        <w:tc>
          <w:tcPr>
            <w:tcW w:w="100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B1E2C" w:rsidRPr="0044516A" w:rsidRDefault="004B1E2C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Broj stoke u uslužnom tovu prema vrsti </w:t>
            </w:r>
          </w:p>
        </w:tc>
        <w:tc>
          <w:tcPr>
            <w:tcW w:w="159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B1E2C" w:rsidRPr="0044516A" w:rsidRDefault="004B1E2C" w:rsidP="00602BB4">
            <w:pPr>
              <w:jc w:val="center"/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</w:pP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Vrsta stajskog gnoja prema Tablici 1</w:t>
            </w:r>
            <w:r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3</w:t>
            </w:r>
            <w:r w:rsidRPr="0044516A">
              <w:rPr>
                <w:rFonts w:ascii="Minion Pro" w:hAnsi="Minion Pro"/>
                <w:sz w:val="18"/>
                <w:szCs w:val="18"/>
                <w:bdr w:val="none" w:sz="0" w:space="0" w:color="auto" w:frame="1"/>
              </w:rPr>
              <w:t>. iz Priloga 1.</w:t>
            </w:r>
          </w:p>
        </w:tc>
      </w:tr>
      <w:tr w:rsidR="004B1E2C" w:rsidRPr="0044516A" w:rsidTr="00602BB4">
        <w:trPr>
          <w:trHeight w:val="300"/>
        </w:trPr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1E2C" w:rsidRPr="0044516A" w:rsidRDefault="004B1E2C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0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59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jc w:val="center"/>
              <w:textAlignment w:val="baseline"/>
              <w:rPr>
                <w:sz w:val="18"/>
                <w:szCs w:val="18"/>
              </w:rPr>
            </w:pPr>
          </w:p>
        </w:tc>
      </w:tr>
      <w:tr w:rsidR="004B1E2C" w:rsidRPr="0044516A" w:rsidTr="00602BB4">
        <w:trPr>
          <w:trHeight w:val="300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2C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</w:tc>
      </w:tr>
      <w:tr w:rsidR="004B1E2C" w:rsidRPr="0044516A" w:rsidTr="00602BB4">
        <w:trPr>
          <w:trHeight w:val="300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</w:tc>
      </w:tr>
      <w:tr w:rsidR="004B1E2C" w:rsidRPr="0044516A" w:rsidTr="00602BB4">
        <w:trPr>
          <w:trHeight w:val="300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E2C" w:rsidRPr="0044516A" w:rsidRDefault="004B1E2C" w:rsidP="00602BB4">
            <w:pPr>
              <w:spacing w:line="276" w:lineRule="auto"/>
              <w:textAlignment w:val="baseline"/>
              <w:rPr>
                <w:sz w:val="18"/>
                <w:szCs w:val="18"/>
              </w:rPr>
            </w:pPr>
          </w:p>
        </w:tc>
      </w:tr>
    </w:tbl>
    <w:p w:rsidR="005721E1" w:rsidRDefault="005721E1"/>
    <w:sectPr w:rsidR="00572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E2C"/>
    <w:rsid w:val="004B1E2C"/>
    <w:rsid w:val="0057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7CB656-6D1F-4E64-93F6-265E4BAA8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1E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2025-12-30T11:16:00Z</dcterms:created>
  <dcterms:modified xsi:type="dcterms:W3CDTF">2025-12-30T11:17:00Z</dcterms:modified>
</cp:coreProperties>
</file>